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F3228A"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F50907" w:rsidRDefault="00F50907" w:rsidP="00F50907">
            <w:pPr>
              <w:pStyle w:val="NOSNumberList"/>
              <w:numPr>
                <w:ilvl w:val="0"/>
                <w:numId w:val="0"/>
              </w:numPr>
              <w:spacing w:line="276" w:lineRule="exact"/>
            </w:pPr>
            <w:bookmarkStart w:id="1" w:name="StartOverview"/>
            <w:bookmarkEnd w:id="1"/>
            <w:r>
              <w:t>This standard covers the competence required to plan for and safely operate auxiliaries and service machinery, other than electrical systems, and respond to malfunctions. The machinery is prepared for operational requirements and start-up and shut down occurs within defined operating conditions. Procedures are followed for changes in demand, deviations from the norm, emergency shut down and communicated to relevant personnel.</w:t>
            </w:r>
          </w:p>
          <w:p w:rsidR="00F50907" w:rsidRDefault="00F50907" w:rsidP="00F50907">
            <w:pPr>
              <w:pStyle w:val="NOSNumberList"/>
              <w:numPr>
                <w:ilvl w:val="0"/>
                <w:numId w:val="0"/>
              </w:numPr>
              <w:spacing w:line="276" w:lineRule="exact"/>
            </w:pPr>
          </w:p>
          <w:p w:rsidR="00B261EA" w:rsidRPr="00B261EA" w:rsidRDefault="00B261EA" w:rsidP="00F50907">
            <w:pPr>
              <w:pStyle w:val="NOSNumberList"/>
              <w:numPr>
                <w:ilvl w:val="0"/>
                <w:numId w:val="0"/>
              </w:numPr>
              <w:spacing w:line="276" w:lineRule="exact"/>
              <w:rPr>
                <w:b/>
              </w:rPr>
            </w:pPr>
            <w:r>
              <w:rPr>
                <w:b/>
              </w:rPr>
              <w:t>Target Group</w:t>
            </w:r>
          </w:p>
          <w:p w:rsidR="00EE5D4B" w:rsidRDefault="00F50907" w:rsidP="001A2FE3">
            <w:pPr>
              <w:pStyle w:val="NOSNumberList"/>
              <w:numPr>
                <w:ilvl w:val="0"/>
                <w:numId w:val="0"/>
              </w:numPr>
              <w:spacing w:line="276" w:lineRule="exact"/>
              <w:ind w:left="34"/>
            </w:pPr>
            <w:r>
              <w:t>This standard applies to individuals at the operational level with responsibility for operating auxiliaries and service</w:t>
            </w:r>
            <w:r w:rsidR="007F44C9">
              <w:t xml:space="preserve"> on</w:t>
            </w:r>
            <w:r>
              <w:t xml:space="preserve"> machinery on vessels of</w:t>
            </w:r>
            <w:r w:rsidR="007F44C9">
              <w:t xml:space="preserve"> any type </w:t>
            </w:r>
            <w:r>
              <w:t xml:space="preserve"> over 750kW registered power</w:t>
            </w: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F3228A"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F3F28" w:rsidRDefault="00AF3F28" w:rsidP="00AF3F28">
            <w:pPr>
              <w:pStyle w:val="NOSBodyHeading"/>
              <w:spacing w:line="276" w:lineRule="auto"/>
              <w:rPr>
                <w:b w:val="0"/>
              </w:rPr>
            </w:pPr>
            <w:bookmarkStart w:id="4" w:name="StartPerformance"/>
            <w:bookmarkEnd w:id="4"/>
          </w:p>
          <w:p w:rsidR="00AF3F28" w:rsidRDefault="00AF3F28" w:rsidP="00AF3F28">
            <w:pPr>
              <w:pStyle w:val="NOSBodyHeading"/>
              <w:spacing w:line="276" w:lineRule="auto"/>
              <w:rPr>
                <w:b w:val="0"/>
              </w:rPr>
            </w:pPr>
          </w:p>
          <w:p w:rsidR="00AF3F28" w:rsidRDefault="00AF3F28" w:rsidP="00AF3F28">
            <w:pPr>
              <w:pStyle w:val="NOSBodyHeading"/>
              <w:spacing w:line="276" w:lineRule="auto"/>
              <w:rPr>
                <w:b w:val="0"/>
              </w:rPr>
            </w:pPr>
          </w:p>
          <w:p w:rsidR="00AF3F28" w:rsidRPr="001B0A7B" w:rsidRDefault="00B261EA" w:rsidP="00AF3F28">
            <w:pPr>
              <w:pStyle w:val="NOSBodyHeading"/>
              <w:numPr>
                <w:ilvl w:val="0"/>
                <w:numId w:val="17"/>
              </w:numPr>
              <w:spacing w:line="276" w:lineRule="auto"/>
              <w:rPr>
                <w:b w:val="0"/>
              </w:rPr>
            </w:pPr>
            <w:r>
              <w:rPr>
                <w:b w:val="0"/>
              </w:rPr>
              <w:t>p</w:t>
            </w:r>
            <w:r w:rsidR="00AF3F28">
              <w:rPr>
                <w:b w:val="0"/>
              </w:rPr>
              <w:t>lan operations in accordance with established safety rules and regulations and manufacturer's recommendations and to prevent damage</w:t>
            </w:r>
          </w:p>
          <w:p w:rsidR="00AF3F28" w:rsidRPr="001B0A7B" w:rsidRDefault="00B261EA" w:rsidP="00AF3F28">
            <w:pPr>
              <w:pStyle w:val="NOSBodyHeading"/>
              <w:numPr>
                <w:ilvl w:val="0"/>
                <w:numId w:val="17"/>
              </w:numPr>
              <w:spacing w:line="276" w:lineRule="auto"/>
              <w:rPr>
                <w:b w:val="0"/>
              </w:rPr>
            </w:pPr>
            <w:r>
              <w:rPr>
                <w:b w:val="0"/>
              </w:rPr>
              <w:t>p</w:t>
            </w:r>
            <w:r w:rsidR="00AF3F28">
              <w:rPr>
                <w:b w:val="0"/>
              </w:rPr>
              <w:t>repare machinery in accordance with operating instructions, established safety rules and regulations and manufacturer's recommendations at the right time appropriate to the intended operation</w:t>
            </w:r>
          </w:p>
          <w:p w:rsidR="00AF3F28" w:rsidRPr="001B0A7B" w:rsidRDefault="00B261EA" w:rsidP="00AF3F28">
            <w:pPr>
              <w:pStyle w:val="NOSBodyHeading"/>
              <w:numPr>
                <w:ilvl w:val="0"/>
                <w:numId w:val="17"/>
              </w:numPr>
              <w:spacing w:line="276" w:lineRule="auto"/>
              <w:rPr>
                <w:b w:val="0"/>
              </w:rPr>
            </w:pPr>
            <w:r>
              <w:rPr>
                <w:b w:val="0"/>
              </w:rPr>
              <w:t>s</w:t>
            </w:r>
            <w:r w:rsidR="00AF3F28">
              <w:rPr>
                <w:b w:val="0"/>
              </w:rPr>
              <w:t>tart up or shut down equipment and systems safely and efficiently</w:t>
            </w:r>
          </w:p>
          <w:p w:rsidR="00AF3F28" w:rsidRPr="001B0A7B" w:rsidRDefault="00B261EA" w:rsidP="00AF3F28">
            <w:pPr>
              <w:pStyle w:val="NOSBodyHeading"/>
              <w:numPr>
                <w:ilvl w:val="0"/>
                <w:numId w:val="17"/>
              </w:numPr>
              <w:spacing w:line="276" w:lineRule="auto"/>
              <w:rPr>
                <w:b w:val="0"/>
              </w:rPr>
            </w:pPr>
            <w:r>
              <w:rPr>
                <w:b w:val="0"/>
              </w:rPr>
              <w:t>m</w:t>
            </w:r>
            <w:r w:rsidR="00AF3F28">
              <w:rPr>
                <w:b w:val="0"/>
              </w:rPr>
              <w:t>onitor machinery in accordance with schedules, operating conditions and instructions throughout normal operation</w:t>
            </w:r>
          </w:p>
          <w:p w:rsidR="00AF3F28" w:rsidRPr="001B0A7B" w:rsidRDefault="00B261EA" w:rsidP="00AF3F28">
            <w:pPr>
              <w:pStyle w:val="NOSBodyHeading"/>
              <w:numPr>
                <w:ilvl w:val="0"/>
                <w:numId w:val="17"/>
              </w:numPr>
              <w:spacing w:line="276" w:lineRule="auto"/>
              <w:rPr>
                <w:b w:val="0"/>
              </w:rPr>
            </w:pPr>
            <w:r>
              <w:rPr>
                <w:b w:val="0"/>
              </w:rPr>
              <w:t>c</w:t>
            </w:r>
            <w:r w:rsidR="00AF3F28">
              <w:rPr>
                <w:b w:val="0"/>
              </w:rPr>
              <w:t>arry out adjustments to the machinery in the right sequence and time to maintain machinery conditions and instrument readings within defined levels and with optimum safety and efficiency</w:t>
            </w:r>
          </w:p>
          <w:p w:rsidR="00AF3F28" w:rsidRPr="001B0A7B" w:rsidRDefault="00B261EA" w:rsidP="00AF3F28">
            <w:pPr>
              <w:pStyle w:val="NOSBodyHeading"/>
              <w:numPr>
                <w:ilvl w:val="0"/>
                <w:numId w:val="17"/>
              </w:numPr>
              <w:spacing w:line="276" w:lineRule="auto"/>
              <w:rPr>
                <w:b w:val="0"/>
              </w:rPr>
            </w:pPr>
            <w:r>
              <w:rPr>
                <w:b w:val="0"/>
              </w:rPr>
              <w:t>i</w:t>
            </w:r>
            <w:r w:rsidR="00AF3F28">
              <w:rPr>
                <w:b w:val="0"/>
              </w:rPr>
              <w:t>dentify irregularities, defects or damage and take action promptly to maximise vessel and machinery safety</w:t>
            </w:r>
          </w:p>
          <w:p w:rsidR="00AF3F28" w:rsidRPr="001B0A7B" w:rsidRDefault="00B261EA" w:rsidP="00AF3F28">
            <w:pPr>
              <w:pStyle w:val="NOSBodyHeading"/>
              <w:numPr>
                <w:ilvl w:val="0"/>
                <w:numId w:val="17"/>
              </w:numPr>
              <w:spacing w:line="276" w:lineRule="auto"/>
              <w:rPr>
                <w:b w:val="0"/>
              </w:rPr>
            </w:pPr>
            <w:r>
              <w:rPr>
                <w:b w:val="0"/>
              </w:rPr>
              <w:t>c</w:t>
            </w:r>
            <w:r w:rsidR="00AF3F28">
              <w:rPr>
                <w:b w:val="0"/>
              </w:rPr>
              <w:t>arry out emergency shut down and isolating procedures and take multiple alarms in priority order to maximise vessel and machinery safety</w:t>
            </w:r>
          </w:p>
          <w:p w:rsidR="00AF3F28" w:rsidRPr="001B0A7B" w:rsidRDefault="00B261EA" w:rsidP="00AF3F28">
            <w:pPr>
              <w:pStyle w:val="NOSBodyHeading"/>
              <w:numPr>
                <w:ilvl w:val="0"/>
                <w:numId w:val="17"/>
              </w:numPr>
              <w:spacing w:line="276" w:lineRule="auto"/>
              <w:rPr>
                <w:b w:val="0"/>
              </w:rPr>
            </w:pPr>
            <w:r>
              <w:rPr>
                <w:b w:val="0"/>
              </w:rPr>
              <w:t>g</w:t>
            </w:r>
            <w:r w:rsidR="00AF3F28">
              <w:rPr>
                <w:b w:val="0"/>
              </w:rPr>
              <w:t>ive sufficient notice of operations to enable other relevant personnel to carry out their responsibilities safely and efficiently</w:t>
            </w:r>
          </w:p>
          <w:p w:rsidR="003C6D88" w:rsidRPr="001B0A7B" w:rsidRDefault="00B261EA" w:rsidP="00B261EA">
            <w:pPr>
              <w:pStyle w:val="NOSBodyHeading"/>
              <w:numPr>
                <w:ilvl w:val="0"/>
                <w:numId w:val="17"/>
              </w:numPr>
              <w:spacing w:line="276" w:lineRule="auto"/>
              <w:rPr>
                <w:b w:val="0"/>
              </w:rPr>
            </w:pPr>
            <w:r>
              <w:rPr>
                <w:b w:val="0"/>
              </w:rPr>
              <w:t>r</w:t>
            </w:r>
            <w:r w:rsidR="00AF3F28">
              <w:rPr>
                <w:b w:val="0"/>
              </w:rPr>
              <w:t xml:space="preserve">eport promptly and accurately to an appropriate authority any malfunction and irregularities </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F3228A"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C6715D" w:rsidRDefault="00C6715D" w:rsidP="00C6715D">
            <w:pPr>
              <w:pStyle w:val="NOSBodyHeading"/>
              <w:spacing w:line="276" w:lineRule="auto"/>
              <w:rPr>
                <w:rFonts w:cs="Arial"/>
                <w:b w:val="0"/>
              </w:rPr>
            </w:pPr>
            <w:bookmarkStart w:id="7" w:name="StartKnowledge"/>
            <w:bookmarkEnd w:id="7"/>
          </w:p>
          <w:p w:rsidR="00B261EA" w:rsidRDefault="00B261EA" w:rsidP="00C6715D">
            <w:pPr>
              <w:pStyle w:val="NOSBodyHeading"/>
              <w:spacing w:line="276" w:lineRule="auto"/>
              <w:rPr>
                <w:rFonts w:cs="Arial"/>
                <w:b w:val="0"/>
              </w:rPr>
            </w:pPr>
          </w:p>
          <w:p w:rsidR="00C6715D" w:rsidRPr="001B0A7B" w:rsidRDefault="00C6715D" w:rsidP="00C6715D">
            <w:pPr>
              <w:pStyle w:val="NOSBodyHeading"/>
              <w:spacing w:line="276" w:lineRule="auto"/>
              <w:rPr>
                <w:b w:val="0"/>
              </w:rPr>
            </w:pPr>
          </w:p>
          <w:p w:rsidR="00C6715D" w:rsidRPr="001B0A7B" w:rsidRDefault="00B261EA" w:rsidP="00C6715D">
            <w:pPr>
              <w:pStyle w:val="NOSBodyHeading"/>
              <w:numPr>
                <w:ilvl w:val="0"/>
                <w:numId w:val="18"/>
              </w:numPr>
              <w:spacing w:line="276" w:lineRule="auto"/>
              <w:rPr>
                <w:b w:val="0"/>
              </w:rPr>
            </w:pPr>
            <w:r>
              <w:rPr>
                <w:rFonts w:cs="Arial"/>
                <w:b w:val="0"/>
              </w:rPr>
              <w:t>t</w:t>
            </w:r>
            <w:r w:rsidR="00C6715D">
              <w:rPr>
                <w:rFonts w:cs="Arial"/>
                <w:b w:val="0"/>
              </w:rPr>
              <w:t>he working principles and constructional details of auxiliary machinery</w:t>
            </w:r>
          </w:p>
          <w:p w:rsidR="00C6715D" w:rsidRPr="001B0A7B" w:rsidRDefault="00B261EA" w:rsidP="00C6715D">
            <w:pPr>
              <w:pStyle w:val="NOSBodyHeading"/>
              <w:numPr>
                <w:ilvl w:val="0"/>
                <w:numId w:val="18"/>
              </w:numPr>
              <w:spacing w:line="276" w:lineRule="auto"/>
              <w:rPr>
                <w:b w:val="0"/>
              </w:rPr>
            </w:pPr>
            <w:proofErr w:type="gramStart"/>
            <w:r>
              <w:rPr>
                <w:rFonts w:cs="Arial"/>
                <w:b w:val="0"/>
              </w:rPr>
              <w:t>p</w:t>
            </w:r>
            <w:r w:rsidR="00C6715D">
              <w:rPr>
                <w:rFonts w:cs="Arial"/>
                <w:b w:val="0"/>
              </w:rPr>
              <w:t>lanning</w:t>
            </w:r>
            <w:proofErr w:type="gramEnd"/>
            <w:r w:rsidR="00C6715D">
              <w:rPr>
                <w:rFonts w:cs="Arial"/>
                <w:b w:val="0"/>
              </w:rPr>
              <w:t xml:space="preserve"> of operations, planning methods, sources of information – statutory, company and manufacturers.</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main duties and responsibilities of shipboard personnel, delegation of responsibilities in the machinery space and the level of supervision required by individuals.</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operational checks and procedures to operate each individual auxiliary system and how to bring each individual system to state of readiness.</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location, cause and effects of common faults in auxiliary machinery and systems and action necessary to prevent damage.</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permitted range, effects of adjustments and consequence of deviation beyond specified range to auxiliary machinery.</w:t>
            </w:r>
          </w:p>
          <w:p w:rsidR="00C6715D" w:rsidRPr="001B0A7B" w:rsidRDefault="00B261EA" w:rsidP="00C6715D">
            <w:pPr>
              <w:pStyle w:val="NOSBodyHeading"/>
              <w:numPr>
                <w:ilvl w:val="0"/>
                <w:numId w:val="18"/>
              </w:numPr>
              <w:spacing w:line="276" w:lineRule="auto"/>
              <w:rPr>
                <w:b w:val="0"/>
              </w:rPr>
            </w:pPr>
            <w:r>
              <w:rPr>
                <w:rFonts w:cs="Arial"/>
                <w:b w:val="0"/>
              </w:rPr>
              <w:t>t</w:t>
            </w:r>
            <w:r w:rsidR="00C6715D">
              <w:rPr>
                <w:rFonts w:cs="Arial"/>
                <w:b w:val="0"/>
              </w:rPr>
              <w:t>he operation of auxiliary machinery and systems in the event of failure of remote control systems</w:t>
            </w:r>
          </w:p>
          <w:p w:rsidR="00C6715D" w:rsidRPr="001B0A7B" w:rsidRDefault="00B261EA" w:rsidP="00C6715D">
            <w:pPr>
              <w:pStyle w:val="NOSBodyHeading"/>
              <w:numPr>
                <w:ilvl w:val="0"/>
                <w:numId w:val="18"/>
              </w:numPr>
              <w:spacing w:line="276" w:lineRule="auto"/>
              <w:rPr>
                <w:b w:val="0"/>
              </w:rPr>
            </w:pPr>
            <w:r>
              <w:rPr>
                <w:rFonts w:cs="Arial"/>
                <w:b w:val="0"/>
              </w:rPr>
              <w:t>t</w:t>
            </w:r>
            <w:r w:rsidR="00C6715D">
              <w:rPr>
                <w:rFonts w:cs="Arial"/>
                <w:b w:val="0"/>
              </w:rPr>
              <w:t>he shutting down of systems and equipment on completion of operations</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use of internal communication systems, communicating with </w:t>
            </w:r>
            <w:proofErr w:type="spellStart"/>
            <w:r w:rsidR="00C6715D">
              <w:rPr>
                <w:rFonts w:cs="Arial"/>
                <w:b w:val="0"/>
              </w:rPr>
              <w:t>engineroom</w:t>
            </w:r>
            <w:proofErr w:type="spellEnd"/>
            <w:r w:rsidR="00C6715D">
              <w:rPr>
                <w:rFonts w:cs="Arial"/>
                <w:b w:val="0"/>
              </w:rPr>
              <w:t xml:space="preserve"> and bridge personnel and effective forms of communication.</w:t>
            </w:r>
          </w:p>
          <w:p w:rsidR="00C6715D" w:rsidRPr="001B0A7B" w:rsidRDefault="00B261EA" w:rsidP="00C6715D">
            <w:pPr>
              <w:pStyle w:val="NOSBodyHeading"/>
              <w:numPr>
                <w:ilvl w:val="0"/>
                <w:numId w:val="18"/>
              </w:numPr>
              <w:spacing w:line="276" w:lineRule="auto"/>
              <w:rPr>
                <w:b w:val="0"/>
              </w:rPr>
            </w:pPr>
            <w:proofErr w:type="gramStart"/>
            <w:r>
              <w:rPr>
                <w:rFonts w:cs="Arial"/>
                <w:b w:val="0"/>
              </w:rPr>
              <w:t>t</w:t>
            </w:r>
            <w:r w:rsidR="00C6715D">
              <w:rPr>
                <w:rFonts w:cs="Arial"/>
                <w:b w:val="0"/>
              </w:rPr>
              <w:t>he</w:t>
            </w:r>
            <w:proofErr w:type="gramEnd"/>
            <w:r w:rsidR="00C6715D">
              <w:rPr>
                <w:rFonts w:cs="Arial"/>
                <w:b w:val="0"/>
              </w:rPr>
              <w:t xml:space="preserve"> importance and use of records for commercial and legislative purposes.</w:t>
            </w:r>
          </w:p>
          <w:p w:rsidR="00C6715D" w:rsidRPr="001B0A7B" w:rsidRDefault="00B261EA" w:rsidP="00C6715D">
            <w:pPr>
              <w:pStyle w:val="NOSBodyHeading"/>
              <w:numPr>
                <w:ilvl w:val="0"/>
                <w:numId w:val="18"/>
              </w:numPr>
              <w:spacing w:line="276" w:lineRule="auto"/>
              <w:rPr>
                <w:b w:val="0"/>
              </w:rPr>
            </w:pPr>
            <w:r>
              <w:rPr>
                <w:rFonts w:cs="Arial"/>
                <w:b w:val="0"/>
              </w:rPr>
              <w:t>t</w:t>
            </w:r>
            <w:r w:rsidR="00C6715D">
              <w:rPr>
                <w:rFonts w:cs="Arial"/>
                <w:b w:val="0"/>
              </w:rPr>
              <w:t>he application of Statutory Regulations and guidelines, organisational instructions and guidance and vessel contingency plans</w:t>
            </w:r>
          </w:p>
          <w:p w:rsidR="00006091" w:rsidRPr="001B0A7B" w:rsidRDefault="00006091" w:rsidP="00C6715D">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B86904" w:rsidRDefault="00B86904" w:rsidP="00B86904">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F3228A"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B261EA"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5E3508" w:rsidP="005E3508">
            <w:pPr>
              <w:pStyle w:val="NOSBodyText"/>
              <w:jc w:val="both"/>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F3228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5E3508" w:rsidP="00690067">
            <w:pPr>
              <w:pStyle w:val="NOSBodyText"/>
              <w:rPr>
                <w:rStyle w:val="A3"/>
              </w:rPr>
            </w:pPr>
            <w:bookmarkStart w:id="15" w:name="StartReview"/>
            <w:bookmarkEnd w:id="15"/>
            <w:r>
              <w:rPr>
                <w:rStyle w:val="A3"/>
              </w:rPr>
              <w:t>December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F139BF"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F139BF"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F3228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261EA"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5E3508" w:rsidP="001F6BF7">
            <w:pPr>
              <w:pStyle w:val="NOSBodyText"/>
              <w:rPr>
                <w:color w:val="221E1F"/>
              </w:rPr>
            </w:pPr>
            <w:bookmarkStart w:id="23" w:name="StartOriginURN"/>
            <w:bookmarkEnd w:id="23"/>
            <w:r>
              <w:rPr>
                <w:color w:val="221E1F"/>
              </w:rPr>
              <w:t xml:space="preserve">MSA </w:t>
            </w:r>
            <w:r w:rsidR="007B105C">
              <w:rPr>
                <w:color w:val="221E1F"/>
              </w:rPr>
              <w:t>C12</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F3228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7B105C" w:rsidRDefault="007B105C" w:rsidP="001A2FE3">
            <w:pPr>
              <w:rPr>
                <w:rFonts w:ascii="Arial" w:hAnsi="Arial" w:cs="Arial"/>
              </w:rPr>
            </w:pPr>
            <w:bookmarkStart w:id="25" w:name="StartOccupations"/>
            <w:bookmarkStart w:id="26" w:name="EndOccupations"/>
            <w:bookmarkEnd w:id="25"/>
            <w:bookmarkEnd w:id="26"/>
            <w:r w:rsidRPr="00000D35">
              <w:rPr>
                <w:rFonts w:ascii="Arial" w:hAnsi="Arial" w:cs="Arial"/>
                <w:color w:val="221E1F"/>
              </w:rPr>
              <w:t>Engineer</w:t>
            </w:r>
            <w:bookmarkStart w:id="27" w:name="endrelevantoccupations"/>
            <w:bookmarkEnd w:id="27"/>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B261EA"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F3228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7B105C" w:rsidP="007B105C">
            <w:pPr>
              <w:pStyle w:val="NOSNumberList"/>
              <w:numPr>
                <w:ilvl w:val="0"/>
                <w:numId w:val="0"/>
              </w:numPr>
              <w:spacing w:line="276" w:lineRule="exact"/>
              <w:rPr>
                <w:color w:val="221E1F"/>
              </w:rPr>
            </w:pPr>
            <w:bookmarkStart w:id="30" w:name="StartKeywords"/>
            <w:bookmarkEnd w:id="30"/>
            <w:r>
              <w:t xml:space="preserve">plan for; safely operate; auxiliaries; service machinery; malfunctions </w:t>
            </w: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BDD" w:rsidRDefault="00674BDD" w:rsidP="00521BFC">
      <w:r>
        <w:separator/>
      </w:r>
    </w:p>
  </w:endnote>
  <w:endnote w:type="continuationSeparator" w:id="0">
    <w:p w:rsidR="00674BDD" w:rsidRDefault="00674BDD"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5E3508" w:rsidP="009F7CB5">
    <w:pPr>
      <w:pStyle w:val="Footer"/>
      <w:tabs>
        <w:tab w:val="left" w:pos="1200"/>
        <w:tab w:val="right" w:pos="10206"/>
      </w:tabs>
      <w:rPr>
        <w:sz w:val="18"/>
        <w:szCs w:val="18"/>
      </w:rPr>
    </w:pPr>
    <w:r w:rsidRPr="005E3508">
      <w:rPr>
        <w:rFonts w:ascii="Arial" w:eastAsiaTheme="minorHAnsi" w:hAnsi="Arial" w:cs="Arial"/>
        <w:noProof/>
        <w:sz w:val="14"/>
        <w:szCs w:val="14"/>
      </w:rPr>
      <w:t>MSA C12</w:t>
    </w:r>
    <w:r>
      <w:rPr>
        <w:rFonts w:ascii="Arial" w:eastAsiaTheme="minorHAnsi" w:hAnsi="Arial" w:cs="Arial"/>
        <w:noProof/>
        <w:sz w:val="14"/>
        <w:szCs w:val="14"/>
      </w:rPr>
      <w:t xml:space="preserve"> </w:t>
    </w:r>
    <w:r w:rsidRPr="005E3508">
      <w:rPr>
        <w:rFonts w:ascii="Arial" w:eastAsiaTheme="minorHAnsi" w:hAnsi="Arial" w:cs="Arial"/>
        <w:noProof/>
        <w:sz w:val="14"/>
        <w:szCs w:val="14"/>
      </w:rPr>
      <w:t>Operate vessel auxiliaries and service machinery</w:t>
    </w:r>
    <w:r w:rsidR="009F7CB5">
      <w:rPr>
        <w:sz w:val="18"/>
        <w:szCs w:val="18"/>
      </w:rPr>
      <w:tab/>
    </w:r>
    <w:r w:rsidR="009F7CB5">
      <w:rPr>
        <w:sz w:val="18"/>
        <w:szCs w:val="18"/>
      </w:rPr>
      <w:tab/>
    </w:r>
    <w:r w:rsidR="00F3228A"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F3228A" w:rsidRPr="008C0064">
      <w:rPr>
        <w:rFonts w:ascii="Arial" w:hAnsi="Arial" w:cs="Arial"/>
        <w:sz w:val="14"/>
        <w:szCs w:val="14"/>
      </w:rPr>
      <w:fldChar w:fldCharType="separate"/>
    </w:r>
    <w:r w:rsidR="00E41B7D">
      <w:rPr>
        <w:rFonts w:ascii="Arial" w:hAnsi="Arial" w:cs="Arial"/>
        <w:noProof/>
        <w:sz w:val="14"/>
        <w:szCs w:val="14"/>
      </w:rPr>
      <w:t>4</w:t>
    </w:r>
    <w:r w:rsidR="00F3228A"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5E3508" w:rsidP="0086259F">
    <w:pPr>
      <w:pStyle w:val="Footer"/>
      <w:tabs>
        <w:tab w:val="left" w:pos="1200"/>
        <w:tab w:val="right" w:pos="10206"/>
      </w:tabs>
      <w:rPr>
        <w:sz w:val="18"/>
        <w:szCs w:val="18"/>
      </w:rPr>
    </w:pPr>
    <w:r w:rsidRPr="005E3508">
      <w:rPr>
        <w:rFonts w:ascii="Arial" w:eastAsiaTheme="minorHAnsi" w:hAnsi="Arial" w:cs="Arial"/>
        <w:noProof/>
        <w:sz w:val="14"/>
        <w:szCs w:val="14"/>
      </w:rPr>
      <w:t>MSA C12</w:t>
    </w:r>
    <w:r>
      <w:rPr>
        <w:rFonts w:ascii="Arial" w:eastAsiaTheme="minorHAnsi" w:hAnsi="Arial" w:cs="Arial"/>
        <w:noProof/>
        <w:sz w:val="14"/>
        <w:szCs w:val="14"/>
      </w:rPr>
      <w:t xml:space="preserve"> </w:t>
    </w:r>
    <w:r w:rsidRPr="005E3508">
      <w:rPr>
        <w:rFonts w:ascii="Arial" w:eastAsiaTheme="minorHAnsi" w:hAnsi="Arial" w:cs="Arial"/>
        <w:noProof/>
        <w:sz w:val="14"/>
        <w:szCs w:val="14"/>
      </w:rPr>
      <w:t>Operate vessel auxiliaries and service machinery</w:t>
    </w:r>
    <w:r w:rsidR="004323FE">
      <w:rPr>
        <w:sz w:val="18"/>
        <w:szCs w:val="18"/>
      </w:rPr>
      <w:tab/>
    </w:r>
    <w:r w:rsidR="004323FE">
      <w:rPr>
        <w:sz w:val="18"/>
        <w:szCs w:val="18"/>
      </w:rPr>
      <w:tab/>
    </w:r>
    <w:r w:rsidR="00F3228A"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F3228A" w:rsidRPr="008C0064">
      <w:rPr>
        <w:rFonts w:ascii="Arial" w:hAnsi="Arial" w:cs="Arial"/>
        <w:sz w:val="14"/>
        <w:szCs w:val="14"/>
      </w:rPr>
      <w:fldChar w:fldCharType="separate"/>
    </w:r>
    <w:r w:rsidR="00E41B7D">
      <w:rPr>
        <w:rFonts w:ascii="Arial" w:hAnsi="Arial" w:cs="Arial"/>
        <w:noProof/>
        <w:sz w:val="14"/>
        <w:szCs w:val="14"/>
      </w:rPr>
      <w:t>1</w:t>
    </w:r>
    <w:r w:rsidR="00F3228A"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BDD" w:rsidRDefault="00674BDD" w:rsidP="00521BFC">
      <w:r>
        <w:separator/>
      </w:r>
    </w:p>
  </w:footnote>
  <w:footnote w:type="continuationSeparator" w:id="0">
    <w:p w:rsidR="00674BDD" w:rsidRDefault="00674BDD"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F3228A" w:rsidP="002063F2">
    <w:pPr>
      <w:tabs>
        <w:tab w:val="left" w:pos="7140"/>
      </w:tabs>
    </w:pPr>
    <w:r w:rsidRPr="00F3228A">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7B105C">
      <w:rPr>
        <w:rFonts w:ascii="Arial" w:eastAsiaTheme="minorHAnsi" w:hAnsi="Arial" w:cs="Arial"/>
        <w:b/>
        <w:noProof/>
        <w:sz w:val="32"/>
        <w:szCs w:val="32"/>
      </w:rPr>
      <w:t xml:space="preserve">MSA </w:t>
    </w:r>
    <w:r w:rsidR="00B261EA">
      <w:rPr>
        <w:rFonts w:ascii="Arial" w:eastAsiaTheme="minorHAnsi" w:hAnsi="Arial" w:cs="Arial"/>
        <w:b/>
        <w:noProof/>
        <w:sz w:val="32"/>
        <w:szCs w:val="32"/>
      </w:rPr>
      <w:t>C12</w:t>
    </w:r>
    <w:r w:rsidR="002063F2" w:rsidRPr="003C6D88">
      <w:rPr>
        <w:rFonts w:eastAsiaTheme="minorHAnsi" w:cs="Courier New"/>
        <w:noProof/>
        <w:sz w:val="32"/>
        <w:szCs w:val="32"/>
      </w:rPr>
      <w:br/>
    </w:r>
    <w:r w:rsidR="00F50907">
      <w:rPr>
        <w:rFonts w:ascii="Arial" w:eastAsiaTheme="minorHAnsi" w:hAnsi="Arial" w:cs="Arial"/>
        <w:noProof/>
        <w:sz w:val="32"/>
        <w:szCs w:val="32"/>
      </w:rPr>
      <w:t xml:space="preserve">Operate </w:t>
    </w:r>
    <w:r w:rsidR="00E030A6">
      <w:rPr>
        <w:rFonts w:ascii="Arial" w:eastAsiaTheme="minorHAnsi" w:hAnsi="Arial" w:cs="Arial"/>
        <w:noProof/>
        <w:sz w:val="32"/>
        <w:szCs w:val="32"/>
      </w:rPr>
      <w:t>v</w:t>
    </w:r>
    <w:r w:rsidR="00F50907">
      <w:rPr>
        <w:rFonts w:ascii="Arial" w:eastAsiaTheme="minorHAnsi" w:hAnsi="Arial" w:cs="Arial"/>
        <w:noProof/>
        <w:sz w:val="32"/>
        <w:szCs w:val="32"/>
      </w:rPr>
      <w:t xml:space="preserve">essel </w:t>
    </w:r>
    <w:r w:rsidR="00E030A6">
      <w:rPr>
        <w:rFonts w:ascii="Arial" w:eastAsiaTheme="minorHAnsi" w:hAnsi="Arial" w:cs="Arial"/>
        <w:noProof/>
        <w:sz w:val="32"/>
        <w:szCs w:val="32"/>
      </w:rPr>
      <w:t>a</w:t>
    </w:r>
    <w:r w:rsidR="00F50907">
      <w:rPr>
        <w:rFonts w:ascii="Arial" w:eastAsiaTheme="minorHAnsi" w:hAnsi="Arial" w:cs="Arial"/>
        <w:noProof/>
        <w:sz w:val="32"/>
        <w:szCs w:val="32"/>
      </w:rPr>
      <w:t xml:space="preserve">uxiliaries and </w:t>
    </w:r>
    <w:r w:rsidR="00E030A6">
      <w:rPr>
        <w:rFonts w:ascii="Arial" w:eastAsiaTheme="minorHAnsi" w:hAnsi="Arial" w:cs="Arial"/>
        <w:noProof/>
        <w:sz w:val="32"/>
        <w:szCs w:val="32"/>
      </w:rPr>
      <w:t>s</w:t>
    </w:r>
    <w:r w:rsidR="00F50907">
      <w:rPr>
        <w:rFonts w:ascii="Arial" w:eastAsiaTheme="minorHAnsi" w:hAnsi="Arial" w:cs="Arial"/>
        <w:noProof/>
        <w:sz w:val="32"/>
        <w:szCs w:val="32"/>
      </w:rPr>
      <w:t xml:space="preserve">ervice </w:t>
    </w:r>
    <w:r w:rsidR="00E030A6">
      <w:rPr>
        <w:rFonts w:ascii="Arial" w:eastAsiaTheme="minorHAnsi" w:hAnsi="Arial" w:cs="Arial"/>
        <w:noProof/>
        <w:sz w:val="32"/>
        <w:szCs w:val="32"/>
      </w:rPr>
      <w:t>m</w:t>
    </w:r>
    <w:r w:rsidR="00F50907">
      <w:rPr>
        <w:rFonts w:ascii="Arial" w:eastAsiaTheme="minorHAnsi" w:hAnsi="Arial" w:cs="Arial"/>
        <w:noProof/>
        <w:sz w:val="32"/>
        <w:szCs w:val="32"/>
      </w:rPr>
      <w:t>achinery</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7B105C" w:rsidP="009A1F82">
          <w:pPr>
            <w:pStyle w:val="Header"/>
            <w:rPr>
              <w:rFonts w:ascii="Arial" w:hAnsi="Arial" w:cs="Arial"/>
              <w:b/>
              <w:sz w:val="32"/>
              <w:szCs w:val="32"/>
            </w:rPr>
          </w:pPr>
          <w:r>
            <w:rPr>
              <w:rFonts w:ascii="Arial" w:hAnsi="Arial" w:cs="Arial"/>
              <w:b/>
              <w:sz w:val="32"/>
              <w:szCs w:val="32"/>
            </w:rPr>
            <w:t xml:space="preserve">MSA </w:t>
          </w:r>
          <w:r w:rsidR="00B261EA">
            <w:rPr>
              <w:rFonts w:ascii="Arial" w:hAnsi="Arial" w:cs="Arial"/>
              <w:b/>
              <w:sz w:val="32"/>
              <w:szCs w:val="32"/>
            </w:rPr>
            <w:t>C12</w:t>
          </w:r>
        </w:p>
        <w:p w:rsidR="009A1F82" w:rsidRPr="00DF70EE" w:rsidRDefault="00F50907" w:rsidP="009A1F82">
          <w:pPr>
            <w:pStyle w:val="Header"/>
            <w:rPr>
              <w:rFonts w:ascii="Arial" w:hAnsi="Arial" w:cs="Arial"/>
            </w:rPr>
          </w:pPr>
          <w:r>
            <w:rPr>
              <w:rFonts w:ascii="Arial" w:hAnsi="Arial" w:cs="Arial"/>
              <w:sz w:val="32"/>
              <w:szCs w:val="32"/>
            </w:rPr>
            <w:t xml:space="preserve">Operate </w:t>
          </w:r>
          <w:r w:rsidR="00881449">
            <w:rPr>
              <w:rFonts w:ascii="Arial" w:hAnsi="Arial" w:cs="Arial"/>
              <w:sz w:val="32"/>
              <w:szCs w:val="32"/>
            </w:rPr>
            <w:t>v</w:t>
          </w:r>
          <w:r>
            <w:rPr>
              <w:rFonts w:ascii="Arial" w:hAnsi="Arial" w:cs="Arial"/>
              <w:sz w:val="32"/>
              <w:szCs w:val="32"/>
            </w:rPr>
            <w:t xml:space="preserve">essel </w:t>
          </w:r>
          <w:r w:rsidR="00881449">
            <w:rPr>
              <w:rFonts w:ascii="Arial" w:hAnsi="Arial" w:cs="Arial"/>
              <w:sz w:val="32"/>
              <w:szCs w:val="32"/>
            </w:rPr>
            <w:t>a</w:t>
          </w:r>
          <w:r>
            <w:rPr>
              <w:rFonts w:ascii="Arial" w:hAnsi="Arial" w:cs="Arial"/>
              <w:sz w:val="32"/>
              <w:szCs w:val="32"/>
            </w:rPr>
            <w:t xml:space="preserve">uxiliaries and </w:t>
          </w:r>
          <w:r w:rsidR="00881449">
            <w:rPr>
              <w:rFonts w:ascii="Arial" w:hAnsi="Arial" w:cs="Arial"/>
              <w:sz w:val="32"/>
              <w:szCs w:val="32"/>
            </w:rPr>
            <w:t>s</w:t>
          </w:r>
          <w:r>
            <w:rPr>
              <w:rFonts w:ascii="Arial" w:hAnsi="Arial" w:cs="Arial"/>
              <w:sz w:val="32"/>
              <w:szCs w:val="32"/>
            </w:rPr>
            <w:t xml:space="preserve">ervice </w:t>
          </w:r>
          <w:r w:rsidR="00881449">
            <w:rPr>
              <w:rFonts w:ascii="Arial" w:hAnsi="Arial" w:cs="Arial"/>
              <w:sz w:val="32"/>
              <w:szCs w:val="32"/>
            </w:rPr>
            <w:t>m</w:t>
          </w:r>
          <w:r>
            <w:rPr>
              <w:rFonts w:ascii="Arial" w:hAnsi="Arial" w:cs="Arial"/>
              <w:sz w:val="32"/>
              <w:szCs w:val="32"/>
            </w:rPr>
            <w:t>achinery</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F3228A"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5A1A9A"/>
    <w:multiLevelType w:val="multilevel"/>
    <w:tmpl w:val="74AA1B9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FC4444"/>
    <w:multiLevelType w:val="multilevel"/>
    <w:tmpl w:val="833E3FAA"/>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173C55"/>
    <w:multiLevelType w:val="multilevel"/>
    <w:tmpl w:val="B9C2BDE0"/>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2"/>
  </w:num>
  <w:num w:numId="5">
    <w:abstractNumId w:val="12"/>
  </w:num>
  <w:num w:numId="6">
    <w:abstractNumId w:val="15"/>
  </w:num>
  <w:num w:numId="7">
    <w:abstractNumId w:val="5"/>
  </w:num>
  <w:num w:numId="8">
    <w:abstractNumId w:val="17"/>
  </w:num>
  <w:num w:numId="9">
    <w:abstractNumId w:val="16"/>
  </w:num>
  <w:num w:numId="10">
    <w:abstractNumId w:val="13"/>
  </w:num>
  <w:num w:numId="11">
    <w:abstractNumId w:val="10"/>
  </w:num>
  <w:num w:numId="12">
    <w:abstractNumId w:val="7"/>
  </w:num>
  <w:num w:numId="13">
    <w:abstractNumId w:val="4"/>
  </w:num>
  <w:num w:numId="14">
    <w:abstractNumId w:val="9"/>
  </w:num>
  <w:num w:numId="15">
    <w:abstractNumId w:val="0"/>
  </w:num>
  <w:num w:numId="16">
    <w:abstractNumId w:val="1"/>
  </w:num>
  <w:num w:numId="17">
    <w:abstractNumId w:val="14"/>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2FE3"/>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71F"/>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524FD"/>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3CF6"/>
    <w:rsid w:val="00436586"/>
    <w:rsid w:val="004375BF"/>
    <w:rsid w:val="00447016"/>
    <w:rsid w:val="00451CC3"/>
    <w:rsid w:val="00467D6A"/>
    <w:rsid w:val="00474BDB"/>
    <w:rsid w:val="004877DA"/>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4623B"/>
    <w:rsid w:val="00550971"/>
    <w:rsid w:val="00556342"/>
    <w:rsid w:val="00563BF7"/>
    <w:rsid w:val="005833E2"/>
    <w:rsid w:val="005A4236"/>
    <w:rsid w:val="005B01E9"/>
    <w:rsid w:val="005C5783"/>
    <w:rsid w:val="005C618B"/>
    <w:rsid w:val="005E09C4"/>
    <w:rsid w:val="005E3508"/>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74BDD"/>
    <w:rsid w:val="00683429"/>
    <w:rsid w:val="00685DDB"/>
    <w:rsid w:val="00687545"/>
    <w:rsid w:val="00690067"/>
    <w:rsid w:val="00692FE1"/>
    <w:rsid w:val="00694A3C"/>
    <w:rsid w:val="006A129C"/>
    <w:rsid w:val="006A61E1"/>
    <w:rsid w:val="006B2227"/>
    <w:rsid w:val="006B4495"/>
    <w:rsid w:val="006C1F2B"/>
    <w:rsid w:val="006C2574"/>
    <w:rsid w:val="006D03D8"/>
    <w:rsid w:val="006E0E81"/>
    <w:rsid w:val="006E35D0"/>
    <w:rsid w:val="006F0706"/>
    <w:rsid w:val="006F3CA8"/>
    <w:rsid w:val="007017D1"/>
    <w:rsid w:val="007156AF"/>
    <w:rsid w:val="00715D93"/>
    <w:rsid w:val="00724E04"/>
    <w:rsid w:val="00726306"/>
    <w:rsid w:val="00730624"/>
    <w:rsid w:val="00742745"/>
    <w:rsid w:val="00753242"/>
    <w:rsid w:val="007613C5"/>
    <w:rsid w:val="00762896"/>
    <w:rsid w:val="00762E29"/>
    <w:rsid w:val="00780EAB"/>
    <w:rsid w:val="00785D30"/>
    <w:rsid w:val="00791C53"/>
    <w:rsid w:val="007A13ED"/>
    <w:rsid w:val="007A4B71"/>
    <w:rsid w:val="007B0672"/>
    <w:rsid w:val="007B105C"/>
    <w:rsid w:val="007C232F"/>
    <w:rsid w:val="007C7DC5"/>
    <w:rsid w:val="007D3CB0"/>
    <w:rsid w:val="007D52B7"/>
    <w:rsid w:val="007E7D16"/>
    <w:rsid w:val="007F44C9"/>
    <w:rsid w:val="008161EE"/>
    <w:rsid w:val="0082306F"/>
    <w:rsid w:val="00823628"/>
    <w:rsid w:val="0084302D"/>
    <w:rsid w:val="00847AF4"/>
    <w:rsid w:val="00847EA7"/>
    <w:rsid w:val="00860755"/>
    <w:rsid w:val="008616C3"/>
    <w:rsid w:val="0086259F"/>
    <w:rsid w:val="00862792"/>
    <w:rsid w:val="008642AB"/>
    <w:rsid w:val="00866606"/>
    <w:rsid w:val="00881449"/>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00FD"/>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535"/>
    <w:rsid w:val="00A92AB5"/>
    <w:rsid w:val="00A95D9D"/>
    <w:rsid w:val="00A9731F"/>
    <w:rsid w:val="00AA411C"/>
    <w:rsid w:val="00AB493E"/>
    <w:rsid w:val="00AB7B1B"/>
    <w:rsid w:val="00AC5EE5"/>
    <w:rsid w:val="00AE57EF"/>
    <w:rsid w:val="00AF3F28"/>
    <w:rsid w:val="00AF48B2"/>
    <w:rsid w:val="00B0115E"/>
    <w:rsid w:val="00B05460"/>
    <w:rsid w:val="00B15A0B"/>
    <w:rsid w:val="00B165CE"/>
    <w:rsid w:val="00B261EA"/>
    <w:rsid w:val="00B4020E"/>
    <w:rsid w:val="00B47C26"/>
    <w:rsid w:val="00B51DAF"/>
    <w:rsid w:val="00B5446B"/>
    <w:rsid w:val="00B652FB"/>
    <w:rsid w:val="00B73F65"/>
    <w:rsid w:val="00B82F94"/>
    <w:rsid w:val="00B86904"/>
    <w:rsid w:val="00B9514C"/>
    <w:rsid w:val="00BA174C"/>
    <w:rsid w:val="00BA2445"/>
    <w:rsid w:val="00BC5E81"/>
    <w:rsid w:val="00BE436E"/>
    <w:rsid w:val="00BF663F"/>
    <w:rsid w:val="00C077DD"/>
    <w:rsid w:val="00C12BFA"/>
    <w:rsid w:val="00C20B78"/>
    <w:rsid w:val="00C22278"/>
    <w:rsid w:val="00C241A2"/>
    <w:rsid w:val="00C2528F"/>
    <w:rsid w:val="00C327DC"/>
    <w:rsid w:val="00C372A8"/>
    <w:rsid w:val="00C503F0"/>
    <w:rsid w:val="00C617B3"/>
    <w:rsid w:val="00C6715D"/>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A1933"/>
    <w:rsid w:val="00DB1A9E"/>
    <w:rsid w:val="00DB2AA3"/>
    <w:rsid w:val="00DC076C"/>
    <w:rsid w:val="00DC2A28"/>
    <w:rsid w:val="00DD4972"/>
    <w:rsid w:val="00DD6775"/>
    <w:rsid w:val="00DD74B5"/>
    <w:rsid w:val="00DE2894"/>
    <w:rsid w:val="00DE55C1"/>
    <w:rsid w:val="00DF4BC7"/>
    <w:rsid w:val="00DF70EE"/>
    <w:rsid w:val="00E01504"/>
    <w:rsid w:val="00E030A6"/>
    <w:rsid w:val="00E06A72"/>
    <w:rsid w:val="00E1299D"/>
    <w:rsid w:val="00E2189F"/>
    <w:rsid w:val="00E23877"/>
    <w:rsid w:val="00E27661"/>
    <w:rsid w:val="00E30B15"/>
    <w:rsid w:val="00E41B7D"/>
    <w:rsid w:val="00E52980"/>
    <w:rsid w:val="00E569AA"/>
    <w:rsid w:val="00E664BC"/>
    <w:rsid w:val="00E66529"/>
    <w:rsid w:val="00E73AC6"/>
    <w:rsid w:val="00E80A62"/>
    <w:rsid w:val="00EB50D3"/>
    <w:rsid w:val="00EC19B3"/>
    <w:rsid w:val="00EC1AA4"/>
    <w:rsid w:val="00EC71A9"/>
    <w:rsid w:val="00ED4338"/>
    <w:rsid w:val="00EE5D4B"/>
    <w:rsid w:val="00F02CCD"/>
    <w:rsid w:val="00F129CF"/>
    <w:rsid w:val="00F139BF"/>
    <w:rsid w:val="00F152BB"/>
    <w:rsid w:val="00F2327D"/>
    <w:rsid w:val="00F25CCF"/>
    <w:rsid w:val="00F2717E"/>
    <w:rsid w:val="00F307E2"/>
    <w:rsid w:val="00F3228A"/>
    <w:rsid w:val="00F353EE"/>
    <w:rsid w:val="00F404FC"/>
    <w:rsid w:val="00F4296C"/>
    <w:rsid w:val="00F45010"/>
    <w:rsid w:val="00F45348"/>
    <w:rsid w:val="00F50907"/>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7F44C9"/>
    <w:rPr>
      <w:sz w:val="16"/>
      <w:szCs w:val="16"/>
    </w:rPr>
  </w:style>
  <w:style w:type="paragraph" w:styleId="CommentText">
    <w:name w:val="annotation text"/>
    <w:basedOn w:val="Normal"/>
    <w:link w:val="CommentTextChar"/>
    <w:uiPriority w:val="99"/>
    <w:semiHidden/>
    <w:unhideWhenUsed/>
    <w:rsid w:val="007F44C9"/>
    <w:pPr>
      <w:spacing w:line="240" w:lineRule="auto"/>
    </w:pPr>
    <w:rPr>
      <w:sz w:val="20"/>
      <w:szCs w:val="20"/>
    </w:rPr>
  </w:style>
  <w:style w:type="character" w:customStyle="1" w:styleId="CommentTextChar">
    <w:name w:val="Comment Text Char"/>
    <w:basedOn w:val="DefaultParagraphFont"/>
    <w:link w:val="CommentText"/>
    <w:uiPriority w:val="99"/>
    <w:semiHidden/>
    <w:rsid w:val="007F44C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F44C9"/>
    <w:rPr>
      <w:b/>
      <w:bCs/>
    </w:rPr>
  </w:style>
  <w:style w:type="character" w:customStyle="1" w:styleId="CommentSubjectChar">
    <w:name w:val="Comment Subject Char"/>
    <w:basedOn w:val="CommentTextChar"/>
    <w:link w:val="CommentSubject"/>
    <w:uiPriority w:val="99"/>
    <w:semiHidden/>
    <w:rsid w:val="007F44C9"/>
    <w:rPr>
      <w:b/>
      <w:bCs/>
    </w:rPr>
  </w:style>
</w:styles>
</file>

<file path=word/webSettings.xml><?xml version="1.0" encoding="utf-8"?>
<w:webSettings xmlns:r="http://schemas.openxmlformats.org/officeDocument/2006/relationships" xmlns:w="http://schemas.openxmlformats.org/wordprocessingml/2006/main">
  <w:divs>
    <w:div w:id="165074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1B403E"/>
    <w:rsid w:val="001E0003"/>
    <w:rsid w:val="0023793C"/>
    <w:rsid w:val="00282F70"/>
    <w:rsid w:val="002B0745"/>
    <w:rsid w:val="002C46EF"/>
    <w:rsid w:val="003D7C07"/>
    <w:rsid w:val="00401C66"/>
    <w:rsid w:val="00432C71"/>
    <w:rsid w:val="00462417"/>
    <w:rsid w:val="00483716"/>
    <w:rsid w:val="0053637E"/>
    <w:rsid w:val="00567979"/>
    <w:rsid w:val="005B7907"/>
    <w:rsid w:val="00691D82"/>
    <w:rsid w:val="00693DD3"/>
    <w:rsid w:val="006D37C5"/>
    <w:rsid w:val="00752FD9"/>
    <w:rsid w:val="008777D8"/>
    <w:rsid w:val="00895F2F"/>
    <w:rsid w:val="008960EC"/>
    <w:rsid w:val="008B5E4D"/>
    <w:rsid w:val="009B4202"/>
    <w:rsid w:val="009D0A55"/>
    <w:rsid w:val="00B37502"/>
    <w:rsid w:val="00C844BE"/>
    <w:rsid w:val="00CE1085"/>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11A5341-F130-4F1D-A202-84DF7B57C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CFB07C-2F15-46F2-B0B5-69576381F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CHoulden</dc:creator>
  <cp:lastModifiedBy>helen.anayiotos</cp:lastModifiedBy>
  <cp:revision>6</cp:revision>
  <dcterms:created xsi:type="dcterms:W3CDTF">2011-11-15T12:30:00Z</dcterms:created>
  <dcterms:modified xsi:type="dcterms:W3CDTF">2012-02-23T14:24:00Z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